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087A6E">
              <w:rPr>
                <w:rFonts w:ascii="Arial" w:hAnsi="Arial"/>
                <w:sz w:val="21"/>
                <w:szCs w:val="21"/>
              </w:rPr>
              <w:t>01.6</w:t>
            </w:r>
            <w:r w:rsidR="00DF6C06" w:rsidRPr="00441234">
              <w:rPr>
                <w:rFonts w:ascii="Arial" w:hAnsi="Arial"/>
                <w:sz w:val="21"/>
                <w:szCs w:val="21"/>
              </w:rPr>
              <w:t>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087A6E"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087A6E"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087A6E"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087A6E"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087A6E"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087A6E"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087A6E"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087A6E"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087A6E"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087A6E"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lastRenderedPageBreak/>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087A6E"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087A6E"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087A6E"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087A6E"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087A6E"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087A6E"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087A6E"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087A6E"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087A6E"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087A6E"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087A6E"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087A6E"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087A6E"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087A6E"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087A6E"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087A6E"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xml:space="preserve">, African American Studies; Africana Studies; American Indian </w:t>
            </w:r>
            <w:r w:rsidR="005C55A2" w:rsidRPr="005C55A2">
              <w:rPr>
                <w:rFonts w:ascii="Arial" w:hAnsi="Arial" w:cs="Arial"/>
                <w:sz w:val="20"/>
                <w:szCs w:val="20"/>
              </w:rPr>
              <w:lastRenderedPageBreak/>
              <w:t>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EC17B1" w:rsidRPr="005C55A2" w:rsidRDefault="00087A6E"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087A6E"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087A6E"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087A6E"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087A6E"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087A6E"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087A6E">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4r5qVnKBcWicrP6yO/lsngehsh6gkLQgAwuTjf/FGaQtWRL/EFZw+3KQERuljO0hNZs0Y5UiyKy2RmCew1zKg==" w:salt="9PPgkPxUH5LaNbwYDihqKw=="/>
  <w:defaultTabStop w:val="720"/>
  <w:drawingGridHorizontalSpacing w:val="120"/>
  <w:drawingGridVerticalSpacing w:val="360"/>
  <w:displayHorizontalDrawingGridEvery w:val="0"/>
  <w:displayVerticalDrawingGridEvery w:val="0"/>
  <w:characterSpacingControl w:val="doNotCompress"/>
  <w:hdrShapeDefaults>
    <o:shapedefaults v:ext="edit" spidmax="13312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A6E"/>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93C8C"/>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3A28372"/>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99C8-5530-4203-9101-C52D6806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2018-03-29T14:23:00Z</dcterms:created>
  <dcterms:modified xsi:type="dcterms:W3CDTF">2018-03-29T14:35:00Z</dcterms:modified>
</cp:coreProperties>
</file>